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BD0E3" w14:textId="77777777" w:rsidR="00056ED9" w:rsidRPr="0026669F" w:rsidRDefault="00056ED9" w:rsidP="00056ED9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26669F">
        <w:rPr>
          <w:b/>
          <w:bCs/>
          <w:sz w:val="22"/>
          <w:szCs w:val="22"/>
        </w:rPr>
        <w:t>Ação Civil Pública FUNDOPEM/INTEGRAR – Transparência das renúncias fiscais de ICMS</w:t>
      </w:r>
    </w:p>
    <w:p w14:paraId="3C593F40" w14:textId="77777777" w:rsidR="00056ED9" w:rsidRPr="0026669F" w:rsidRDefault="00056ED9" w:rsidP="00056ED9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</w:rPr>
      </w:pPr>
      <w:r w:rsidRPr="0026669F">
        <w:rPr>
          <w:b/>
          <w:bCs/>
          <w:sz w:val="22"/>
          <w:szCs w:val="22"/>
        </w:rPr>
        <w:t>Processo nº 5013121-26.2015.8.21.0001 – 7ª Vara da Fazenda Pública de Porto Alegre/RS</w:t>
      </w:r>
    </w:p>
    <w:p w14:paraId="035C6832" w14:textId="77777777" w:rsidR="00056ED9" w:rsidRPr="0026669F" w:rsidRDefault="00056ED9" w:rsidP="00056ED9">
      <w:pPr>
        <w:pStyle w:val="NormalWeb"/>
        <w:spacing w:before="0" w:beforeAutospacing="0" w:after="0" w:afterAutospacing="0"/>
        <w:jc w:val="center"/>
        <w:rPr>
          <w:b/>
          <w:bCs/>
          <w:sz w:val="22"/>
          <w:szCs w:val="22"/>
        </w:rPr>
      </w:pPr>
    </w:p>
    <w:p w14:paraId="0BF1FAC8" w14:textId="7000DCDD" w:rsidR="00056ED9" w:rsidRPr="0026669F" w:rsidRDefault="00056ED9" w:rsidP="0026669F">
      <w:pPr>
        <w:pStyle w:val="NormalWeb"/>
        <w:spacing w:before="0" w:beforeAutospacing="0" w:after="0" w:afterAutospacing="0" w:line="360" w:lineRule="auto"/>
        <w:ind w:firstLine="1134"/>
        <w:jc w:val="both"/>
        <w:rPr>
          <w:sz w:val="22"/>
          <w:szCs w:val="22"/>
        </w:rPr>
      </w:pPr>
      <w:r w:rsidRPr="0026669F">
        <w:rPr>
          <w:sz w:val="22"/>
          <w:szCs w:val="22"/>
        </w:rPr>
        <w:t>Trata-se de Ação Civil Pública ajuizada perante a 7ª Vara da Fazenda Pública de Porto Alegre/RS, em que figuram como autoras, em litisconsórcio ativo</w:t>
      </w:r>
      <w:r w:rsidR="0026669F">
        <w:rPr>
          <w:sz w:val="22"/>
          <w:szCs w:val="22"/>
        </w:rPr>
        <w:t xml:space="preserve"> </w:t>
      </w:r>
      <w:r w:rsidRPr="0026669F">
        <w:rPr>
          <w:sz w:val="22"/>
          <w:szCs w:val="22"/>
        </w:rPr>
        <w:t>Sindicato dos Engenheiros do Estado do Rio Grande do Sul – SENGE</w:t>
      </w:r>
      <w:r w:rsidR="0026669F">
        <w:rPr>
          <w:sz w:val="22"/>
          <w:szCs w:val="22"/>
        </w:rPr>
        <w:t xml:space="preserve">; </w:t>
      </w:r>
      <w:r w:rsidRPr="0026669F">
        <w:rPr>
          <w:sz w:val="22"/>
          <w:szCs w:val="22"/>
        </w:rPr>
        <w:t>Sindicato dos Administradores no Estado do Rio Grande do Sul – SINDAERGS</w:t>
      </w:r>
      <w:r w:rsidR="0026669F">
        <w:rPr>
          <w:sz w:val="22"/>
          <w:szCs w:val="22"/>
        </w:rPr>
        <w:t xml:space="preserve">; </w:t>
      </w:r>
      <w:r w:rsidRPr="0026669F">
        <w:rPr>
          <w:sz w:val="22"/>
          <w:szCs w:val="22"/>
        </w:rPr>
        <w:t>Sindicato dos Técnicos Tributários da Receita Estadual do Estado do RS – AFOCEFE</w:t>
      </w:r>
      <w:r w:rsidR="0026669F">
        <w:rPr>
          <w:sz w:val="22"/>
          <w:szCs w:val="22"/>
        </w:rPr>
        <w:t>;</w:t>
      </w:r>
      <w:r w:rsidRPr="0026669F">
        <w:rPr>
          <w:sz w:val="22"/>
          <w:szCs w:val="22"/>
        </w:rPr>
        <w:t xml:space="preserve"> Sindicato de Auditores Públicos Externos do Tribunal de Contas do Estado do RS – CEAPE</w:t>
      </w:r>
      <w:r w:rsidR="0026669F">
        <w:rPr>
          <w:sz w:val="22"/>
          <w:szCs w:val="22"/>
        </w:rPr>
        <w:t xml:space="preserve"> e a</w:t>
      </w:r>
      <w:r w:rsidRPr="0026669F">
        <w:rPr>
          <w:sz w:val="22"/>
          <w:szCs w:val="22"/>
        </w:rPr>
        <w:t xml:space="preserve"> Federação Nacional das Entidades dos Servidores dos Tribunais de Contas do Brasil – FENASTC</w:t>
      </w:r>
    </w:p>
    <w:p w14:paraId="09A8E11E" w14:textId="77777777" w:rsidR="00056ED9" w:rsidRPr="0026669F" w:rsidRDefault="00056ED9" w:rsidP="00056ED9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5D2E93C9" w14:textId="7B5BBE85" w:rsidR="00056ED9" w:rsidRPr="0026669F" w:rsidRDefault="00056ED9" w:rsidP="0026669F">
      <w:pPr>
        <w:pStyle w:val="NormalWeb"/>
        <w:spacing w:before="0" w:beforeAutospacing="0" w:after="0" w:afterAutospacing="0" w:line="360" w:lineRule="auto"/>
        <w:ind w:firstLine="1134"/>
        <w:jc w:val="both"/>
        <w:rPr>
          <w:sz w:val="22"/>
          <w:szCs w:val="22"/>
        </w:rPr>
      </w:pPr>
      <w:r w:rsidRPr="0026669F">
        <w:rPr>
          <w:sz w:val="22"/>
          <w:szCs w:val="22"/>
        </w:rPr>
        <w:t>A ação foi proposta em face do Estado do Rio Grande do Sul, visando a assegurar transparência nas renúncias fiscais concedidas no âmbito dos programas FUNDOPEM/RS e INTEGRAR/RS, bem como o efetivo controle das contrapartidas assumidas pelas empresas beneficiadas.</w:t>
      </w:r>
    </w:p>
    <w:p w14:paraId="1F00989F" w14:textId="77777777" w:rsidR="00056ED9" w:rsidRPr="0026669F" w:rsidRDefault="00056ED9" w:rsidP="0026669F">
      <w:pPr>
        <w:pStyle w:val="NormalWeb"/>
        <w:spacing w:before="0" w:beforeAutospacing="0" w:after="0" w:afterAutospacing="0" w:line="360" w:lineRule="auto"/>
        <w:ind w:firstLine="1134"/>
        <w:jc w:val="both"/>
        <w:rPr>
          <w:sz w:val="22"/>
          <w:szCs w:val="22"/>
        </w:rPr>
      </w:pPr>
    </w:p>
    <w:p w14:paraId="155039F9" w14:textId="43D59D81" w:rsidR="00056ED9" w:rsidRPr="0026669F" w:rsidRDefault="00056ED9" w:rsidP="0026669F">
      <w:pPr>
        <w:pStyle w:val="NormalWeb"/>
        <w:spacing w:before="0" w:beforeAutospacing="0" w:after="0" w:afterAutospacing="0" w:line="360" w:lineRule="auto"/>
        <w:ind w:firstLine="1134"/>
        <w:jc w:val="both"/>
        <w:rPr>
          <w:sz w:val="22"/>
          <w:szCs w:val="22"/>
        </w:rPr>
      </w:pPr>
      <w:r w:rsidRPr="0026669F">
        <w:rPr>
          <w:sz w:val="22"/>
          <w:szCs w:val="22"/>
        </w:rPr>
        <w:t>O trânsito em julgado ocorreu em 10/10/2024, após o julgamento dos embargos de declaração opostos pelo Estado.</w:t>
      </w:r>
      <w:r w:rsidR="0026669F" w:rsidRPr="0026669F">
        <w:rPr>
          <w:sz w:val="22"/>
          <w:szCs w:val="22"/>
        </w:rPr>
        <w:t xml:space="preserve"> </w:t>
      </w:r>
      <w:r w:rsidRPr="0026669F">
        <w:rPr>
          <w:sz w:val="22"/>
          <w:szCs w:val="22"/>
        </w:rPr>
        <w:t>As entidades autoras buscaram, essencialmente, que o Estado do RS fosse obrigado a:</w:t>
      </w:r>
    </w:p>
    <w:p w14:paraId="6319913A" w14:textId="77777777" w:rsidR="00056ED9" w:rsidRPr="0026669F" w:rsidRDefault="00056ED9" w:rsidP="0026669F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41CCCCDD" w14:textId="77777777" w:rsidR="00056ED9" w:rsidRPr="0026669F" w:rsidRDefault="00056ED9" w:rsidP="0026669F">
      <w:pPr>
        <w:pStyle w:val="NormalWeb"/>
        <w:numPr>
          <w:ilvl w:val="0"/>
          <w:numId w:val="27"/>
        </w:numPr>
        <w:tabs>
          <w:tab w:val="clear" w:pos="720"/>
        </w:tabs>
        <w:spacing w:before="0" w:beforeAutospacing="0" w:after="0" w:afterAutospacing="0" w:line="360" w:lineRule="auto"/>
        <w:ind w:left="0" w:firstLine="1134"/>
        <w:jc w:val="both"/>
        <w:rPr>
          <w:sz w:val="22"/>
          <w:szCs w:val="22"/>
        </w:rPr>
      </w:pPr>
      <w:r w:rsidRPr="0026669F">
        <w:rPr>
          <w:sz w:val="22"/>
          <w:szCs w:val="22"/>
        </w:rPr>
        <w:t>Divulgar, no Portal da Transparência, informações detalhadas sobre os contratos de incentivos fiscais vinculados aos programas FUNDOPEM/INTEGRAR, incluindo:</w:t>
      </w:r>
    </w:p>
    <w:p w14:paraId="06DD466F" w14:textId="77777777" w:rsidR="00056ED9" w:rsidRPr="0026669F" w:rsidRDefault="00056ED9" w:rsidP="00056ED9">
      <w:pPr>
        <w:pStyle w:val="NormalWeb"/>
        <w:spacing w:before="0" w:beforeAutospacing="0" w:after="0" w:afterAutospacing="0"/>
        <w:ind w:left="720"/>
        <w:jc w:val="both"/>
        <w:rPr>
          <w:sz w:val="22"/>
          <w:szCs w:val="22"/>
        </w:rPr>
      </w:pPr>
    </w:p>
    <w:p w14:paraId="6E13B48C" w14:textId="77777777" w:rsidR="00056ED9" w:rsidRPr="0026669F" w:rsidRDefault="00056ED9" w:rsidP="00056ED9">
      <w:pPr>
        <w:pStyle w:val="NormalWeb"/>
        <w:spacing w:before="0" w:beforeAutospacing="0" w:after="0" w:afterAutospacing="0"/>
        <w:ind w:left="1134"/>
        <w:jc w:val="both"/>
        <w:rPr>
          <w:sz w:val="22"/>
          <w:szCs w:val="22"/>
        </w:rPr>
      </w:pPr>
      <w:r w:rsidRPr="0026669F">
        <w:rPr>
          <w:sz w:val="22"/>
          <w:szCs w:val="22"/>
        </w:rPr>
        <w:t>• nome das empresas beneficiadas;</w:t>
      </w:r>
    </w:p>
    <w:p w14:paraId="28425F9A" w14:textId="77777777" w:rsidR="00056ED9" w:rsidRPr="0026669F" w:rsidRDefault="00056ED9" w:rsidP="00056ED9">
      <w:pPr>
        <w:pStyle w:val="NormalWeb"/>
        <w:spacing w:before="0" w:beforeAutospacing="0" w:after="0" w:afterAutospacing="0"/>
        <w:ind w:left="1134"/>
        <w:jc w:val="both"/>
        <w:rPr>
          <w:sz w:val="22"/>
          <w:szCs w:val="22"/>
        </w:rPr>
      </w:pPr>
      <w:r w:rsidRPr="0026669F">
        <w:rPr>
          <w:sz w:val="22"/>
          <w:szCs w:val="22"/>
        </w:rPr>
        <w:t>• prazos de vigência;</w:t>
      </w:r>
    </w:p>
    <w:p w14:paraId="4B4DFFC5" w14:textId="77777777" w:rsidR="00056ED9" w:rsidRPr="0026669F" w:rsidRDefault="00056ED9" w:rsidP="00056ED9">
      <w:pPr>
        <w:pStyle w:val="NormalWeb"/>
        <w:spacing w:before="0" w:beforeAutospacing="0" w:after="0" w:afterAutospacing="0"/>
        <w:ind w:left="1134"/>
        <w:jc w:val="both"/>
        <w:rPr>
          <w:sz w:val="22"/>
          <w:szCs w:val="22"/>
        </w:rPr>
      </w:pPr>
      <w:r w:rsidRPr="0026669F">
        <w:rPr>
          <w:sz w:val="22"/>
          <w:szCs w:val="22"/>
        </w:rPr>
        <w:t>• montante de ICMS renunciado;</w:t>
      </w:r>
    </w:p>
    <w:p w14:paraId="3CD5A207" w14:textId="77777777" w:rsidR="00056ED9" w:rsidRPr="0026669F" w:rsidRDefault="00056ED9" w:rsidP="00056ED9">
      <w:pPr>
        <w:pStyle w:val="NormalWeb"/>
        <w:spacing w:before="0" w:beforeAutospacing="0" w:after="0" w:afterAutospacing="0"/>
        <w:ind w:left="1134"/>
        <w:jc w:val="both"/>
        <w:rPr>
          <w:sz w:val="22"/>
          <w:szCs w:val="22"/>
        </w:rPr>
      </w:pPr>
      <w:r w:rsidRPr="0026669F">
        <w:rPr>
          <w:sz w:val="22"/>
          <w:szCs w:val="22"/>
        </w:rPr>
        <w:t>• investimentos e contrapartidas assumidas;</w:t>
      </w:r>
    </w:p>
    <w:p w14:paraId="5036118D" w14:textId="77777777" w:rsidR="00056ED9" w:rsidRPr="0026669F" w:rsidRDefault="00056ED9" w:rsidP="00056ED9">
      <w:pPr>
        <w:pStyle w:val="NormalWeb"/>
        <w:spacing w:before="0" w:beforeAutospacing="0" w:after="0" w:afterAutospacing="0"/>
        <w:ind w:left="1134"/>
        <w:jc w:val="both"/>
        <w:rPr>
          <w:sz w:val="22"/>
          <w:szCs w:val="22"/>
        </w:rPr>
      </w:pPr>
      <w:r w:rsidRPr="0026669F">
        <w:rPr>
          <w:sz w:val="22"/>
          <w:szCs w:val="22"/>
        </w:rPr>
        <w:t>• cumprimento ou não das metas;</w:t>
      </w:r>
    </w:p>
    <w:p w14:paraId="68DC1818" w14:textId="56748C45" w:rsidR="00056ED9" w:rsidRPr="0026669F" w:rsidRDefault="00056ED9" w:rsidP="00056ED9">
      <w:pPr>
        <w:pStyle w:val="NormalWeb"/>
        <w:spacing w:before="0" w:beforeAutospacing="0" w:after="0" w:afterAutospacing="0"/>
        <w:ind w:left="1134"/>
        <w:jc w:val="both"/>
        <w:rPr>
          <w:sz w:val="22"/>
          <w:szCs w:val="22"/>
        </w:rPr>
      </w:pPr>
      <w:r w:rsidRPr="0026669F">
        <w:rPr>
          <w:sz w:val="22"/>
          <w:szCs w:val="22"/>
        </w:rPr>
        <w:t>• penalidades contratuais previstas e efetivamente aplicadas.</w:t>
      </w:r>
    </w:p>
    <w:p w14:paraId="15F19C41" w14:textId="77777777" w:rsidR="00056ED9" w:rsidRPr="0026669F" w:rsidRDefault="00056ED9" w:rsidP="00056ED9">
      <w:pPr>
        <w:pStyle w:val="NormalWeb"/>
        <w:spacing w:before="0" w:beforeAutospacing="0" w:after="0" w:afterAutospacing="0"/>
        <w:ind w:left="1134"/>
        <w:jc w:val="both"/>
        <w:rPr>
          <w:sz w:val="22"/>
          <w:szCs w:val="22"/>
        </w:rPr>
      </w:pPr>
    </w:p>
    <w:p w14:paraId="5E953A71" w14:textId="77777777" w:rsidR="00056ED9" w:rsidRPr="0026669F" w:rsidRDefault="00056ED9" w:rsidP="0026669F">
      <w:pPr>
        <w:pStyle w:val="NormalWeb"/>
        <w:numPr>
          <w:ilvl w:val="0"/>
          <w:numId w:val="28"/>
        </w:numPr>
        <w:tabs>
          <w:tab w:val="clear" w:pos="720"/>
        </w:tabs>
        <w:spacing w:before="0" w:beforeAutospacing="0" w:after="0" w:afterAutospacing="0" w:line="360" w:lineRule="auto"/>
        <w:ind w:left="0" w:firstLine="1134"/>
        <w:jc w:val="both"/>
        <w:rPr>
          <w:sz w:val="22"/>
          <w:szCs w:val="22"/>
        </w:rPr>
      </w:pPr>
      <w:r w:rsidRPr="0026669F">
        <w:rPr>
          <w:sz w:val="22"/>
          <w:szCs w:val="22"/>
        </w:rPr>
        <w:t>Publicizar as regras de contrapartida e metas exigidas nos contratos, bem como os atos de controle e cobrança realizados pelo Estado, especialmente:</w:t>
      </w:r>
    </w:p>
    <w:p w14:paraId="479A58FB" w14:textId="77777777" w:rsidR="00056ED9" w:rsidRPr="0026669F" w:rsidRDefault="00056ED9" w:rsidP="00056ED9">
      <w:pPr>
        <w:pStyle w:val="NormalWeb"/>
        <w:spacing w:before="0" w:beforeAutospacing="0" w:after="0" w:afterAutospacing="0"/>
        <w:ind w:left="720"/>
        <w:jc w:val="both"/>
        <w:rPr>
          <w:sz w:val="22"/>
          <w:szCs w:val="22"/>
        </w:rPr>
      </w:pPr>
    </w:p>
    <w:p w14:paraId="546D1F8F" w14:textId="77777777" w:rsidR="00056ED9" w:rsidRPr="0026669F" w:rsidRDefault="00056ED9" w:rsidP="00056ED9">
      <w:pPr>
        <w:pStyle w:val="NormalWeb"/>
        <w:spacing w:before="0" w:beforeAutospacing="0" w:after="0" w:afterAutospacing="0"/>
        <w:ind w:left="1134"/>
        <w:jc w:val="both"/>
        <w:rPr>
          <w:sz w:val="22"/>
          <w:szCs w:val="22"/>
        </w:rPr>
      </w:pPr>
      <w:r w:rsidRPr="0026669F">
        <w:rPr>
          <w:sz w:val="22"/>
          <w:szCs w:val="22"/>
        </w:rPr>
        <w:t>• fiscalização do cumprimento das metas;</w:t>
      </w:r>
    </w:p>
    <w:p w14:paraId="59A49F5B" w14:textId="77777777" w:rsidR="00056ED9" w:rsidRPr="0026669F" w:rsidRDefault="00056ED9" w:rsidP="00056ED9">
      <w:pPr>
        <w:pStyle w:val="NormalWeb"/>
        <w:spacing w:before="0" w:beforeAutospacing="0" w:after="0" w:afterAutospacing="0"/>
        <w:ind w:left="1134"/>
        <w:jc w:val="both"/>
        <w:rPr>
          <w:sz w:val="22"/>
          <w:szCs w:val="22"/>
        </w:rPr>
      </w:pPr>
      <w:r w:rsidRPr="0026669F">
        <w:rPr>
          <w:sz w:val="22"/>
          <w:szCs w:val="22"/>
        </w:rPr>
        <w:t>• processos administrativos instaurados contra empresas inadimplentes;</w:t>
      </w:r>
    </w:p>
    <w:p w14:paraId="1DEFE635" w14:textId="0A00BECE" w:rsidR="00056ED9" w:rsidRPr="0026669F" w:rsidRDefault="00056ED9" w:rsidP="00056ED9">
      <w:pPr>
        <w:pStyle w:val="NormalWeb"/>
        <w:spacing w:before="0" w:beforeAutospacing="0" w:after="0" w:afterAutospacing="0"/>
        <w:ind w:left="1134"/>
        <w:jc w:val="both"/>
        <w:rPr>
          <w:sz w:val="22"/>
          <w:szCs w:val="22"/>
        </w:rPr>
      </w:pPr>
      <w:r w:rsidRPr="0026669F">
        <w:rPr>
          <w:sz w:val="22"/>
          <w:szCs w:val="22"/>
        </w:rPr>
        <w:t>• cobrança de valores de ICMS renunciado em caso de descumprimento.</w:t>
      </w:r>
    </w:p>
    <w:p w14:paraId="6E0E1568" w14:textId="77777777" w:rsidR="00056ED9" w:rsidRPr="0026669F" w:rsidRDefault="00056ED9" w:rsidP="00056ED9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175F3AF9" w14:textId="613D9DDE" w:rsidR="00056ED9" w:rsidRPr="0026669F" w:rsidRDefault="00056ED9" w:rsidP="0026669F">
      <w:pPr>
        <w:pStyle w:val="NormalWeb"/>
        <w:spacing w:before="0" w:beforeAutospacing="0" w:after="0" w:afterAutospacing="0" w:line="360" w:lineRule="auto"/>
        <w:ind w:firstLine="1134"/>
        <w:jc w:val="both"/>
        <w:rPr>
          <w:sz w:val="22"/>
          <w:szCs w:val="22"/>
        </w:rPr>
      </w:pPr>
      <w:r w:rsidRPr="0026669F">
        <w:rPr>
          <w:sz w:val="22"/>
          <w:szCs w:val="22"/>
        </w:rPr>
        <w:t>A demanda foi fundamentada na Lei de Acesso à Informação (Lei 12.527/2011) e nos princípios constitucionais da publicidade e do controle social da Administração Pública.</w:t>
      </w:r>
    </w:p>
    <w:p w14:paraId="5AF7298C" w14:textId="77777777" w:rsidR="00056ED9" w:rsidRPr="0026669F" w:rsidRDefault="00056ED9" w:rsidP="0026669F">
      <w:pPr>
        <w:pStyle w:val="NormalWeb"/>
        <w:spacing w:before="0" w:beforeAutospacing="0" w:after="0" w:afterAutospacing="0"/>
        <w:ind w:firstLine="1134"/>
        <w:jc w:val="both"/>
        <w:rPr>
          <w:sz w:val="22"/>
          <w:szCs w:val="22"/>
        </w:rPr>
      </w:pPr>
    </w:p>
    <w:p w14:paraId="3B663361" w14:textId="50AB6965" w:rsidR="00056ED9" w:rsidRPr="0026669F" w:rsidRDefault="00056ED9" w:rsidP="0026669F">
      <w:pPr>
        <w:pStyle w:val="NormalWeb"/>
        <w:spacing w:before="0" w:beforeAutospacing="0" w:after="0" w:afterAutospacing="0" w:line="360" w:lineRule="auto"/>
        <w:ind w:firstLine="1134"/>
        <w:jc w:val="both"/>
        <w:rPr>
          <w:sz w:val="22"/>
          <w:szCs w:val="22"/>
        </w:rPr>
      </w:pPr>
      <w:r w:rsidRPr="0026669F">
        <w:rPr>
          <w:sz w:val="22"/>
          <w:szCs w:val="22"/>
        </w:rPr>
        <w:lastRenderedPageBreak/>
        <w:t>A Juíza da 7ª Vara da Fazenda Pública julgou a ação parcialmente procedente, para condenar o Estado do RS a “dar transparência aos projetos incentivados com renúncias fiscais, obtidos pelas empresas a partir da Lei Estadual nº 11.916/2003”, com publicidade:</w:t>
      </w:r>
    </w:p>
    <w:p w14:paraId="79858AF4" w14:textId="77777777" w:rsidR="00056ED9" w:rsidRPr="0026669F" w:rsidRDefault="00056ED9" w:rsidP="0026669F">
      <w:pPr>
        <w:pStyle w:val="NormalWeb"/>
        <w:spacing w:before="0" w:beforeAutospacing="0" w:after="0" w:afterAutospacing="0"/>
        <w:ind w:firstLine="1134"/>
        <w:jc w:val="both"/>
        <w:rPr>
          <w:sz w:val="22"/>
          <w:szCs w:val="22"/>
        </w:rPr>
      </w:pPr>
    </w:p>
    <w:p w14:paraId="25F6B6C6" w14:textId="77777777" w:rsidR="00056ED9" w:rsidRPr="0026669F" w:rsidRDefault="00056ED9" w:rsidP="0026669F">
      <w:pPr>
        <w:pStyle w:val="NormalWeb"/>
        <w:spacing w:before="0" w:beforeAutospacing="0" w:after="0" w:afterAutospacing="0"/>
        <w:ind w:left="1134"/>
        <w:jc w:val="both"/>
        <w:rPr>
          <w:sz w:val="22"/>
          <w:szCs w:val="22"/>
        </w:rPr>
      </w:pPr>
      <w:r w:rsidRPr="0026669F">
        <w:rPr>
          <w:sz w:val="22"/>
          <w:szCs w:val="22"/>
        </w:rPr>
        <w:t>• dos parâmetros adotados para enquadramento e graduação dos incentivos;</w:t>
      </w:r>
    </w:p>
    <w:p w14:paraId="7D7E7EB0" w14:textId="77777777" w:rsidR="00056ED9" w:rsidRPr="0026669F" w:rsidRDefault="00056ED9" w:rsidP="0026669F">
      <w:pPr>
        <w:pStyle w:val="NormalWeb"/>
        <w:spacing w:before="0" w:beforeAutospacing="0" w:after="0" w:afterAutospacing="0"/>
        <w:ind w:left="1134"/>
        <w:jc w:val="both"/>
        <w:rPr>
          <w:sz w:val="22"/>
          <w:szCs w:val="22"/>
        </w:rPr>
      </w:pPr>
      <w:r w:rsidRPr="0026669F">
        <w:rPr>
          <w:sz w:val="22"/>
          <w:szCs w:val="22"/>
        </w:rPr>
        <w:t>• das contrapartidas exigidas;</w:t>
      </w:r>
    </w:p>
    <w:p w14:paraId="2A48061F" w14:textId="77777777" w:rsidR="00056ED9" w:rsidRPr="0026669F" w:rsidRDefault="00056ED9" w:rsidP="0026669F">
      <w:pPr>
        <w:pStyle w:val="NormalWeb"/>
        <w:spacing w:before="0" w:beforeAutospacing="0" w:after="0" w:afterAutospacing="0"/>
        <w:ind w:left="1134"/>
        <w:jc w:val="both"/>
        <w:rPr>
          <w:sz w:val="22"/>
          <w:szCs w:val="22"/>
        </w:rPr>
      </w:pPr>
      <w:r w:rsidRPr="0026669F">
        <w:rPr>
          <w:sz w:val="22"/>
          <w:szCs w:val="22"/>
        </w:rPr>
        <w:t>• dos atos de controle realizados (datas de fiscalização e atestado de cumprimento das metas);</w:t>
      </w:r>
    </w:p>
    <w:p w14:paraId="03910D8E" w14:textId="77777777" w:rsidR="00056ED9" w:rsidRPr="0026669F" w:rsidRDefault="00056ED9" w:rsidP="0026669F">
      <w:pPr>
        <w:pStyle w:val="NormalWeb"/>
        <w:spacing w:before="0" w:beforeAutospacing="0" w:after="0" w:afterAutospacing="0"/>
        <w:ind w:left="1134"/>
        <w:jc w:val="both"/>
        <w:rPr>
          <w:sz w:val="22"/>
          <w:szCs w:val="22"/>
        </w:rPr>
      </w:pPr>
      <w:r w:rsidRPr="0026669F">
        <w:rPr>
          <w:sz w:val="22"/>
          <w:szCs w:val="22"/>
        </w:rPr>
        <w:t>• do valor da renúncia tributária relativa a cada beneficiário;</w:t>
      </w:r>
    </w:p>
    <w:p w14:paraId="5ACDF0AB" w14:textId="61187D70" w:rsidR="00056ED9" w:rsidRPr="0026669F" w:rsidRDefault="00056ED9" w:rsidP="0026669F">
      <w:pPr>
        <w:pStyle w:val="NormalWeb"/>
        <w:spacing w:before="0" w:beforeAutospacing="0" w:after="0" w:afterAutospacing="0"/>
        <w:ind w:left="1134"/>
        <w:jc w:val="both"/>
        <w:rPr>
          <w:sz w:val="22"/>
          <w:szCs w:val="22"/>
        </w:rPr>
      </w:pPr>
      <w:r w:rsidRPr="0026669F">
        <w:rPr>
          <w:sz w:val="22"/>
          <w:szCs w:val="22"/>
        </w:rPr>
        <w:t>• das penalidades aplicadas.</w:t>
      </w:r>
    </w:p>
    <w:p w14:paraId="165F6FEC" w14:textId="77777777" w:rsidR="00056ED9" w:rsidRPr="0026669F" w:rsidRDefault="00056ED9" w:rsidP="00056ED9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187280F5" w14:textId="0ADF6659" w:rsidR="00056ED9" w:rsidRPr="0026669F" w:rsidRDefault="00056ED9" w:rsidP="0026669F">
      <w:pPr>
        <w:pStyle w:val="NormalWeb"/>
        <w:spacing w:before="0" w:beforeAutospacing="0" w:after="0" w:afterAutospacing="0" w:line="360" w:lineRule="auto"/>
        <w:ind w:firstLine="1134"/>
        <w:jc w:val="both"/>
        <w:rPr>
          <w:sz w:val="22"/>
          <w:szCs w:val="22"/>
        </w:rPr>
      </w:pPr>
      <w:r w:rsidRPr="0026669F">
        <w:rPr>
          <w:sz w:val="22"/>
          <w:szCs w:val="22"/>
        </w:rPr>
        <w:t>Na sentença, a eficácia foi inicialmente limitada (voltada a contratos futuros), e o Estado foi condenado ao pagamento de custas e honorários advocatícios.</w:t>
      </w:r>
      <w:r w:rsidR="0026669F" w:rsidRPr="0026669F">
        <w:rPr>
          <w:sz w:val="22"/>
          <w:szCs w:val="22"/>
        </w:rPr>
        <w:t xml:space="preserve"> </w:t>
      </w:r>
      <w:r w:rsidRPr="0026669F">
        <w:rPr>
          <w:sz w:val="22"/>
          <w:szCs w:val="22"/>
        </w:rPr>
        <w:t xml:space="preserve">Ambas as partes interpuseram recurso de apelação. A 3ª Câmara Cível do TJRS, sob relatoria do Desembargador Leonel Pires </w:t>
      </w:r>
      <w:proofErr w:type="spellStart"/>
      <w:r w:rsidRPr="0026669F">
        <w:rPr>
          <w:sz w:val="22"/>
          <w:szCs w:val="22"/>
        </w:rPr>
        <w:t>Ohlweiler</w:t>
      </w:r>
      <w:proofErr w:type="spellEnd"/>
      <w:r w:rsidRPr="0026669F">
        <w:rPr>
          <w:sz w:val="22"/>
          <w:szCs w:val="22"/>
        </w:rPr>
        <w:t>, julgou parcialmente providos os apelos. Em síntese, o Tribunal:</w:t>
      </w:r>
    </w:p>
    <w:p w14:paraId="6AAE1CAC" w14:textId="77777777" w:rsidR="00056ED9" w:rsidRPr="0026669F" w:rsidRDefault="00056ED9" w:rsidP="0026669F">
      <w:pPr>
        <w:pStyle w:val="NormalWeb"/>
        <w:spacing w:before="0" w:beforeAutospacing="0" w:after="0" w:afterAutospacing="0"/>
        <w:ind w:firstLine="1134"/>
        <w:jc w:val="both"/>
        <w:rPr>
          <w:sz w:val="22"/>
          <w:szCs w:val="22"/>
        </w:rPr>
      </w:pPr>
    </w:p>
    <w:p w14:paraId="732F7592" w14:textId="77777777" w:rsidR="0026669F" w:rsidRPr="0026669F" w:rsidRDefault="00056ED9" w:rsidP="0026669F">
      <w:pPr>
        <w:pStyle w:val="NormalWeb"/>
        <w:spacing w:before="0" w:beforeAutospacing="0" w:after="0" w:afterAutospacing="0"/>
        <w:ind w:left="1134"/>
        <w:jc w:val="both"/>
        <w:rPr>
          <w:sz w:val="22"/>
          <w:szCs w:val="22"/>
        </w:rPr>
      </w:pPr>
      <w:r w:rsidRPr="0026669F">
        <w:rPr>
          <w:sz w:val="22"/>
          <w:szCs w:val="22"/>
        </w:rPr>
        <w:t xml:space="preserve">– </w:t>
      </w:r>
      <w:proofErr w:type="gramStart"/>
      <w:r w:rsidRPr="0026669F">
        <w:rPr>
          <w:sz w:val="22"/>
          <w:szCs w:val="22"/>
        </w:rPr>
        <w:t>manteve</w:t>
      </w:r>
      <w:proofErr w:type="gramEnd"/>
      <w:r w:rsidRPr="0026669F">
        <w:rPr>
          <w:sz w:val="22"/>
          <w:szCs w:val="22"/>
        </w:rPr>
        <w:t xml:space="preserve"> a obrigação de transparência determinada na sentença, reconhecendo a obrigação do Estado de divulgar detalhadamente os projetos beneficiados (empresas, valores renunciados, contrapartidas, fiscalização e penalidades);</w:t>
      </w:r>
    </w:p>
    <w:p w14:paraId="7BC9FFD5" w14:textId="1E9C7489" w:rsidR="00056ED9" w:rsidRPr="0026669F" w:rsidRDefault="00056ED9" w:rsidP="0026669F">
      <w:pPr>
        <w:pStyle w:val="NormalWeb"/>
        <w:spacing w:before="0" w:beforeAutospacing="0" w:after="0" w:afterAutospacing="0"/>
        <w:ind w:left="1134"/>
        <w:jc w:val="both"/>
        <w:rPr>
          <w:sz w:val="22"/>
          <w:szCs w:val="22"/>
        </w:rPr>
      </w:pPr>
      <w:r w:rsidRPr="0026669F">
        <w:rPr>
          <w:sz w:val="22"/>
          <w:szCs w:val="22"/>
        </w:rPr>
        <w:t xml:space="preserve">– </w:t>
      </w:r>
      <w:proofErr w:type="gramStart"/>
      <w:r w:rsidRPr="0026669F">
        <w:rPr>
          <w:sz w:val="22"/>
          <w:szCs w:val="22"/>
        </w:rPr>
        <w:t>reforçou</w:t>
      </w:r>
      <w:proofErr w:type="gramEnd"/>
      <w:r w:rsidRPr="0026669F">
        <w:rPr>
          <w:sz w:val="22"/>
          <w:szCs w:val="22"/>
        </w:rPr>
        <w:t xml:space="preserve"> a obrigação de transparência, </w:t>
      </w:r>
      <w:r w:rsidRPr="0026669F">
        <w:rPr>
          <w:sz w:val="22"/>
          <w:szCs w:val="22"/>
          <w:u w:val="single"/>
        </w:rPr>
        <w:t>sem limitar a decisão apenas para o futuro</w:t>
      </w:r>
      <w:r w:rsidRPr="0026669F">
        <w:rPr>
          <w:sz w:val="22"/>
          <w:szCs w:val="22"/>
        </w:rPr>
        <w:t>.</w:t>
      </w:r>
    </w:p>
    <w:p w14:paraId="690172A1" w14:textId="77777777" w:rsidR="00056ED9" w:rsidRPr="0026669F" w:rsidRDefault="00056ED9" w:rsidP="00056ED9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14:paraId="0F687D80" w14:textId="348EE55A" w:rsidR="00056ED9" w:rsidRPr="0026669F" w:rsidRDefault="00056ED9" w:rsidP="0026669F">
      <w:pPr>
        <w:pStyle w:val="NormalWeb"/>
        <w:spacing w:before="0" w:beforeAutospacing="0" w:after="0" w:afterAutospacing="0" w:line="360" w:lineRule="auto"/>
        <w:ind w:firstLine="1134"/>
        <w:jc w:val="both"/>
        <w:rPr>
          <w:sz w:val="22"/>
          <w:szCs w:val="22"/>
        </w:rPr>
      </w:pPr>
      <w:r w:rsidRPr="0026669F">
        <w:rPr>
          <w:sz w:val="22"/>
          <w:szCs w:val="22"/>
        </w:rPr>
        <w:t>Em síntese, o TJRS confirmou a vitória de mérito das entidades autoras, reforçando que os contratos de incentivos fiscais FUNDOPEM/INTEGRAR devem ser integralmente transparentes, inclusive em relação a contratos anteriores, não apenas futuros.</w:t>
      </w:r>
    </w:p>
    <w:p w14:paraId="0691B4F3" w14:textId="77777777" w:rsidR="00056ED9" w:rsidRPr="0026669F" w:rsidRDefault="00056ED9" w:rsidP="0026669F">
      <w:pPr>
        <w:pStyle w:val="NormalWeb"/>
        <w:spacing w:before="0" w:beforeAutospacing="0" w:after="0" w:afterAutospacing="0" w:line="360" w:lineRule="auto"/>
        <w:ind w:firstLine="1134"/>
        <w:jc w:val="both"/>
        <w:rPr>
          <w:sz w:val="22"/>
          <w:szCs w:val="22"/>
        </w:rPr>
      </w:pPr>
    </w:p>
    <w:p w14:paraId="3897823E" w14:textId="02D07953" w:rsidR="00056ED9" w:rsidRPr="0026669F" w:rsidRDefault="00056ED9" w:rsidP="0026669F">
      <w:pPr>
        <w:pStyle w:val="NormalWeb"/>
        <w:spacing w:before="0" w:beforeAutospacing="0" w:after="0" w:afterAutospacing="0" w:line="360" w:lineRule="auto"/>
        <w:ind w:firstLine="1134"/>
        <w:jc w:val="both"/>
        <w:rPr>
          <w:sz w:val="22"/>
          <w:szCs w:val="22"/>
        </w:rPr>
      </w:pPr>
      <w:r w:rsidRPr="0026669F">
        <w:rPr>
          <w:sz w:val="22"/>
          <w:szCs w:val="22"/>
        </w:rPr>
        <w:t>Após diversos recursos do Estado do RS, em 10/10/2024 ocorreu o trânsito em julgado.</w:t>
      </w:r>
      <w:r w:rsidR="0026669F" w:rsidRPr="0026669F">
        <w:rPr>
          <w:sz w:val="22"/>
          <w:szCs w:val="22"/>
        </w:rPr>
        <w:t xml:space="preserve"> </w:t>
      </w:r>
      <w:r w:rsidRPr="0026669F">
        <w:rPr>
          <w:sz w:val="22"/>
          <w:szCs w:val="22"/>
        </w:rPr>
        <w:t xml:space="preserve">Após o Estado </w:t>
      </w:r>
      <w:r w:rsidR="0026669F" w:rsidRPr="0026669F">
        <w:rPr>
          <w:sz w:val="22"/>
          <w:szCs w:val="22"/>
        </w:rPr>
        <w:t xml:space="preserve">apresentou </w:t>
      </w:r>
      <w:r w:rsidRPr="0026669F">
        <w:rPr>
          <w:sz w:val="22"/>
          <w:szCs w:val="22"/>
        </w:rPr>
        <w:t xml:space="preserve">espontaneamente </w:t>
      </w:r>
      <w:r w:rsidR="0026669F" w:rsidRPr="0026669F">
        <w:rPr>
          <w:sz w:val="22"/>
          <w:szCs w:val="22"/>
        </w:rPr>
        <w:t>o cumprimento d</w:t>
      </w:r>
      <w:r w:rsidRPr="0026669F">
        <w:rPr>
          <w:sz w:val="22"/>
          <w:szCs w:val="22"/>
        </w:rPr>
        <w:t>a decisão</w:t>
      </w:r>
      <w:r w:rsidR="0026669F" w:rsidRPr="0026669F">
        <w:rPr>
          <w:sz w:val="22"/>
          <w:szCs w:val="22"/>
        </w:rPr>
        <w:t xml:space="preserve"> e </w:t>
      </w:r>
      <w:r w:rsidRPr="0026669F">
        <w:rPr>
          <w:sz w:val="22"/>
          <w:szCs w:val="22"/>
        </w:rPr>
        <w:t>informou ter disponibilizado e organizado dados em seus sistemas e portais</w:t>
      </w:r>
      <w:r w:rsidR="0026669F" w:rsidRPr="0026669F">
        <w:rPr>
          <w:sz w:val="22"/>
          <w:szCs w:val="22"/>
        </w:rPr>
        <w:t xml:space="preserve"> no processo.</w:t>
      </w:r>
    </w:p>
    <w:p w14:paraId="2D9B53E7" w14:textId="77777777" w:rsidR="0026669F" w:rsidRPr="0026669F" w:rsidRDefault="0026669F" w:rsidP="0026669F">
      <w:pPr>
        <w:pStyle w:val="NormalWeb"/>
        <w:spacing w:before="0" w:beforeAutospacing="0" w:after="0" w:afterAutospacing="0" w:line="360" w:lineRule="auto"/>
        <w:ind w:firstLine="1134"/>
        <w:jc w:val="both"/>
        <w:rPr>
          <w:sz w:val="22"/>
          <w:szCs w:val="22"/>
        </w:rPr>
      </w:pPr>
    </w:p>
    <w:p w14:paraId="51BA682B" w14:textId="0F7A59B7" w:rsidR="00056ED9" w:rsidRPr="0026669F" w:rsidRDefault="0026669F" w:rsidP="0026669F">
      <w:pPr>
        <w:pStyle w:val="NormalWeb"/>
        <w:spacing w:before="0" w:beforeAutospacing="0" w:after="0" w:afterAutospacing="0" w:line="360" w:lineRule="auto"/>
        <w:ind w:firstLine="1134"/>
        <w:jc w:val="both"/>
        <w:rPr>
          <w:sz w:val="22"/>
          <w:szCs w:val="22"/>
        </w:rPr>
      </w:pPr>
      <w:r w:rsidRPr="0026669F">
        <w:rPr>
          <w:sz w:val="22"/>
          <w:szCs w:val="22"/>
        </w:rPr>
        <w:t xml:space="preserve">Com isso, as </w:t>
      </w:r>
      <w:r w:rsidR="00056ED9" w:rsidRPr="0026669F">
        <w:rPr>
          <w:sz w:val="22"/>
          <w:szCs w:val="22"/>
        </w:rPr>
        <w:t>entidades autoras apontaram que o cumprimento era parcial, com lacunas em relação a: períodos mais antigos;</w:t>
      </w:r>
      <w:r w:rsidRPr="0026669F">
        <w:rPr>
          <w:sz w:val="22"/>
          <w:szCs w:val="22"/>
        </w:rPr>
        <w:t xml:space="preserve"> </w:t>
      </w:r>
      <w:r w:rsidR="00056ED9" w:rsidRPr="0026669F">
        <w:rPr>
          <w:sz w:val="22"/>
          <w:szCs w:val="22"/>
        </w:rPr>
        <w:t>comprovação de processos administrativos e penalidades;</w:t>
      </w:r>
      <w:r w:rsidRPr="0026669F">
        <w:rPr>
          <w:sz w:val="22"/>
          <w:szCs w:val="22"/>
        </w:rPr>
        <w:t xml:space="preserve"> </w:t>
      </w:r>
      <w:r w:rsidR="00056ED9" w:rsidRPr="0026669F">
        <w:rPr>
          <w:sz w:val="22"/>
          <w:szCs w:val="22"/>
        </w:rPr>
        <w:t>consolidação histórica dos dados.</w:t>
      </w:r>
    </w:p>
    <w:p w14:paraId="67DE72ED" w14:textId="77777777" w:rsidR="00056ED9" w:rsidRPr="0026669F" w:rsidRDefault="00056ED9" w:rsidP="0026669F">
      <w:pPr>
        <w:pStyle w:val="NormalWeb"/>
        <w:spacing w:before="0" w:beforeAutospacing="0" w:after="0" w:afterAutospacing="0" w:line="360" w:lineRule="auto"/>
        <w:ind w:firstLine="1134"/>
        <w:jc w:val="both"/>
        <w:rPr>
          <w:sz w:val="22"/>
          <w:szCs w:val="22"/>
        </w:rPr>
      </w:pPr>
    </w:p>
    <w:p w14:paraId="2A257830" w14:textId="19724175" w:rsidR="00056ED9" w:rsidRPr="0026669F" w:rsidRDefault="00056ED9" w:rsidP="0026669F">
      <w:pPr>
        <w:pStyle w:val="NormalWeb"/>
        <w:spacing w:before="0" w:beforeAutospacing="0" w:after="0" w:afterAutospacing="0" w:line="360" w:lineRule="auto"/>
        <w:ind w:firstLine="1134"/>
        <w:jc w:val="both"/>
        <w:rPr>
          <w:sz w:val="22"/>
          <w:szCs w:val="22"/>
          <w:u w:val="single"/>
        </w:rPr>
      </w:pPr>
      <w:r w:rsidRPr="0026669F">
        <w:rPr>
          <w:sz w:val="22"/>
          <w:szCs w:val="22"/>
        </w:rPr>
        <w:t>Várias petições foram apresentadas para esclarecer o quanto já havia sido implementado e o quanto ainda faltava.</w:t>
      </w:r>
      <w:r w:rsidR="0026669F" w:rsidRPr="0026669F">
        <w:rPr>
          <w:sz w:val="22"/>
          <w:szCs w:val="22"/>
        </w:rPr>
        <w:t xml:space="preserve"> </w:t>
      </w:r>
      <w:r w:rsidRPr="0026669F">
        <w:rPr>
          <w:sz w:val="22"/>
          <w:szCs w:val="22"/>
        </w:rPr>
        <w:t>No despacho mais recente (14/10/2025), o juiz faz três movimentos importantes.</w:t>
      </w:r>
      <w:r w:rsidR="0026669F" w:rsidRPr="0026669F">
        <w:rPr>
          <w:sz w:val="22"/>
          <w:szCs w:val="22"/>
        </w:rPr>
        <w:t xml:space="preserve"> </w:t>
      </w:r>
      <w:r w:rsidRPr="0026669F">
        <w:rPr>
          <w:sz w:val="22"/>
          <w:szCs w:val="22"/>
        </w:rPr>
        <w:t>O juiz esclarece que a coisa julgada (aquilo que está definitivamente decidido) abrange</w:t>
      </w:r>
      <w:r w:rsidR="0026669F" w:rsidRPr="0026669F">
        <w:rPr>
          <w:sz w:val="22"/>
          <w:szCs w:val="22"/>
        </w:rPr>
        <w:t xml:space="preserve"> </w:t>
      </w:r>
      <w:r w:rsidRPr="0026669F">
        <w:rPr>
          <w:sz w:val="22"/>
          <w:szCs w:val="22"/>
          <w:u w:val="single"/>
        </w:rPr>
        <w:t>a obrigação do Estado de dar transparência aos projetos incentivados, com a divulgação das informações já listadas (parâmetros, contrapartidas, fiscalização, valor da renúncia e penalidades).</w:t>
      </w:r>
    </w:p>
    <w:p w14:paraId="0B0B7405" w14:textId="47C5F17B" w:rsidR="00056ED9" w:rsidRPr="0026669F" w:rsidRDefault="00056ED9" w:rsidP="0026669F">
      <w:pPr>
        <w:pStyle w:val="NormalWeb"/>
        <w:spacing w:before="0" w:beforeAutospacing="0" w:after="0" w:afterAutospacing="0" w:line="360" w:lineRule="auto"/>
        <w:ind w:firstLine="1134"/>
        <w:jc w:val="both"/>
        <w:rPr>
          <w:sz w:val="22"/>
          <w:szCs w:val="22"/>
        </w:rPr>
      </w:pPr>
      <w:r w:rsidRPr="0026669F">
        <w:rPr>
          <w:sz w:val="22"/>
          <w:szCs w:val="22"/>
        </w:rPr>
        <w:lastRenderedPageBreak/>
        <w:t>Em 24/11/2025, as entidades autoras apresentaram petição simples para registrar que tomaram ciência da decisão e que adotarão as providências necessárias para exigir o cumprimento da obrigação de fazer, no que não foi atendido de forma voluntária pelo Estado.</w:t>
      </w:r>
    </w:p>
    <w:p w14:paraId="2A7E9CC1" w14:textId="77777777" w:rsidR="00056ED9" w:rsidRPr="0026669F" w:rsidRDefault="00056ED9" w:rsidP="0026669F">
      <w:pPr>
        <w:pStyle w:val="NormalWeb"/>
        <w:spacing w:before="0" w:beforeAutospacing="0" w:after="0" w:afterAutospacing="0" w:line="360" w:lineRule="auto"/>
        <w:ind w:firstLine="1134"/>
        <w:jc w:val="both"/>
        <w:rPr>
          <w:sz w:val="22"/>
          <w:szCs w:val="22"/>
        </w:rPr>
      </w:pPr>
    </w:p>
    <w:p w14:paraId="516E98CA" w14:textId="77777777" w:rsidR="00056ED9" w:rsidRPr="0026669F" w:rsidRDefault="00056ED9" w:rsidP="0026669F">
      <w:pPr>
        <w:pStyle w:val="NormalWeb"/>
        <w:spacing w:before="0" w:beforeAutospacing="0" w:after="0" w:afterAutospacing="0" w:line="360" w:lineRule="auto"/>
        <w:ind w:firstLine="1134"/>
        <w:jc w:val="both"/>
        <w:rPr>
          <w:sz w:val="22"/>
          <w:szCs w:val="22"/>
        </w:rPr>
      </w:pPr>
      <w:r w:rsidRPr="0026669F">
        <w:rPr>
          <w:sz w:val="22"/>
          <w:szCs w:val="22"/>
        </w:rPr>
        <w:t>Na prática, isso significa preparar e ajuizar um cumprimento de sentença específico, com foco em fechar as lacunas de transparência ainda existentes (se ainda houver) e demais questões inerentes ao cumprimento da decisão transitada em julgado, bem como, se for o caso, solicitar a aplicação de medidas coercitivas ao Estado do RS (como multa diária) para assegurar o cumprimento integral.</w:t>
      </w:r>
    </w:p>
    <w:p w14:paraId="66A95564" w14:textId="77777777" w:rsidR="00056ED9" w:rsidRPr="0026669F" w:rsidRDefault="00056ED9" w:rsidP="0026669F">
      <w:pPr>
        <w:pStyle w:val="NormalWeb"/>
        <w:spacing w:before="0" w:beforeAutospacing="0" w:after="0" w:afterAutospacing="0" w:line="360" w:lineRule="auto"/>
        <w:ind w:firstLine="1134"/>
        <w:jc w:val="both"/>
        <w:rPr>
          <w:sz w:val="22"/>
          <w:szCs w:val="22"/>
        </w:rPr>
      </w:pPr>
    </w:p>
    <w:p w14:paraId="1FD594E0" w14:textId="7ACC55FD" w:rsidR="00056ED9" w:rsidRDefault="00056ED9" w:rsidP="00056ED9">
      <w:pPr>
        <w:spacing w:after="0"/>
        <w:jc w:val="both"/>
        <w:rPr>
          <w:rFonts w:ascii="Times New Roman" w:hAnsi="Times New Roman" w:cs="Times New Roman"/>
        </w:rPr>
      </w:pPr>
    </w:p>
    <w:p w14:paraId="3CA709D8" w14:textId="53D1749D" w:rsidR="0026669F" w:rsidRPr="0026669F" w:rsidRDefault="0026669F" w:rsidP="0026669F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  <w:r w:rsidRPr="0026669F">
        <w:rPr>
          <w:rFonts w:ascii="Times New Roman" w:hAnsi="Times New Roman" w:cs="Times New Roman"/>
          <w:b/>
          <w:bCs/>
          <w:i/>
          <w:iCs/>
        </w:rPr>
        <w:t>Porto Alegre/RS 10 de dezembro de 2025</w:t>
      </w:r>
    </w:p>
    <w:p w14:paraId="3C8E5A61" w14:textId="16D35334" w:rsidR="0026669F" w:rsidRPr="0026669F" w:rsidRDefault="0026669F" w:rsidP="0026669F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  <w:r w:rsidRPr="0026669F">
        <w:rPr>
          <w:rFonts w:ascii="Times New Roman" w:hAnsi="Times New Roman" w:cs="Times New Roman"/>
          <w:b/>
          <w:bCs/>
          <w:i/>
          <w:iCs/>
        </w:rPr>
        <w:t>RVM Advogados Associados S/S</w:t>
      </w:r>
    </w:p>
    <w:sectPr w:rsidR="0026669F" w:rsidRPr="0026669F" w:rsidSect="0026669F">
      <w:headerReference w:type="default" r:id="rId7"/>
      <w:footerReference w:type="default" r:id="rId8"/>
      <w:pgSz w:w="11906" w:h="16838"/>
      <w:pgMar w:top="1134" w:right="851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4339B" w14:textId="77777777" w:rsidR="00175041" w:rsidRDefault="00175041" w:rsidP="00B83CB2">
      <w:pPr>
        <w:spacing w:after="0" w:line="240" w:lineRule="auto"/>
      </w:pPr>
      <w:r>
        <w:separator/>
      </w:r>
    </w:p>
  </w:endnote>
  <w:endnote w:type="continuationSeparator" w:id="0">
    <w:p w14:paraId="1863D595" w14:textId="77777777" w:rsidR="00175041" w:rsidRDefault="00175041" w:rsidP="00B83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310736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402B43" w14:textId="4BE452F8" w:rsidR="00B83CB2" w:rsidRDefault="0026669F" w:rsidP="0026669F">
            <w:pPr>
              <w:pStyle w:val="Rodap"/>
              <w:ind w:left="-1134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noProof/>
              </w:rPr>
              <w:drawing>
                <wp:inline distT="0" distB="0" distL="0" distR="0" wp14:anchorId="631EDFE9" wp14:editId="10AC847F">
                  <wp:extent cx="7635689" cy="1151343"/>
                  <wp:effectExtent l="0" t="0" r="3810" b="0"/>
                  <wp:docPr id="39804649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4278" cy="11526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1C370" w14:textId="77777777" w:rsidR="00175041" w:rsidRDefault="00175041" w:rsidP="00B83CB2">
      <w:pPr>
        <w:spacing w:after="0" w:line="240" w:lineRule="auto"/>
      </w:pPr>
      <w:r>
        <w:separator/>
      </w:r>
    </w:p>
  </w:footnote>
  <w:footnote w:type="continuationSeparator" w:id="0">
    <w:p w14:paraId="2CB995E4" w14:textId="77777777" w:rsidR="00175041" w:rsidRDefault="00175041" w:rsidP="00B83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44305" w14:textId="7ED1D5DA" w:rsidR="00B83CB2" w:rsidRDefault="00B83CB2" w:rsidP="00B83CB2">
    <w:pPr>
      <w:pStyle w:val="Cabealho"/>
      <w:jc w:val="center"/>
    </w:pPr>
    <w:r w:rsidRPr="00932A1F">
      <w:rPr>
        <w:noProof/>
        <w:lang w:eastAsia="pt-BR"/>
      </w:rPr>
      <w:drawing>
        <wp:inline distT="0" distB="0" distL="0" distR="0" wp14:anchorId="53060D85" wp14:editId="2A4194F0">
          <wp:extent cx="1933575" cy="742950"/>
          <wp:effectExtent l="0" t="0" r="9525" b="0"/>
          <wp:docPr id="902542458" name="Imagem 51" descr="RVM Advogados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1" descr="RVM Advogados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FFF6A3" w14:textId="77777777" w:rsidR="00B83CB2" w:rsidRDefault="00B83CB2" w:rsidP="00B83CB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854DB"/>
    <w:multiLevelType w:val="multilevel"/>
    <w:tmpl w:val="192E5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46DDC"/>
    <w:multiLevelType w:val="multilevel"/>
    <w:tmpl w:val="DAEC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E10D1A"/>
    <w:multiLevelType w:val="multilevel"/>
    <w:tmpl w:val="825E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184FC4"/>
    <w:multiLevelType w:val="multilevel"/>
    <w:tmpl w:val="9544D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C02F9F"/>
    <w:multiLevelType w:val="multilevel"/>
    <w:tmpl w:val="5B08B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EF1267"/>
    <w:multiLevelType w:val="multilevel"/>
    <w:tmpl w:val="460E0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9B51C2"/>
    <w:multiLevelType w:val="multilevel"/>
    <w:tmpl w:val="904AC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CD4F62"/>
    <w:multiLevelType w:val="multilevel"/>
    <w:tmpl w:val="5F163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E26A1E"/>
    <w:multiLevelType w:val="multilevel"/>
    <w:tmpl w:val="9FDA1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EE2019"/>
    <w:multiLevelType w:val="multilevel"/>
    <w:tmpl w:val="4EAE0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0C5B7A"/>
    <w:multiLevelType w:val="multilevel"/>
    <w:tmpl w:val="2B8C0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4F65FE"/>
    <w:multiLevelType w:val="multilevel"/>
    <w:tmpl w:val="340C2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663EEF"/>
    <w:multiLevelType w:val="multilevel"/>
    <w:tmpl w:val="3154EC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420A89"/>
    <w:multiLevelType w:val="multilevel"/>
    <w:tmpl w:val="D2B63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55591A"/>
    <w:multiLevelType w:val="multilevel"/>
    <w:tmpl w:val="F3E06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9A2F7F"/>
    <w:multiLevelType w:val="hybridMultilevel"/>
    <w:tmpl w:val="33B05ED4"/>
    <w:lvl w:ilvl="0" w:tplc="65167B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2C7569"/>
    <w:multiLevelType w:val="multilevel"/>
    <w:tmpl w:val="0B24A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42009F"/>
    <w:multiLevelType w:val="multilevel"/>
    <w:tmpl w:val="F4B4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037E20"/>
    <w:multiLevelType w:val="multilevel"/>
    <w:tmpl w:val="D6B45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781F23"/>
    <w:multiLevelType w:val="multilevel"/>
    <w:tmpl w:val="85FA4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565F85"/>
    <w:multiLevelType w:val="multilevel"/>
    <w:tmpl w:val="5B564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66078A0"/>
    <w:multiLevelType w:val="multilevel"/>
    <w:tmpl w:val="ED34A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5E7180"/>
    <w:multiLevelType w:val="multilevel"/>
    <w:tmpl w:val="30CA1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DB1B89"/>
    <w:multiLevelType w:val="multilevel"/>
    <w:tmpl w:val="1CC64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984D00"/>
    <w:multiLevelType w:val="multilevel"/>
    <w:tmpl w:val="588A3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D07D5C"/>
    <w:multiLevelType w:val="multilevel"/>
    <w:tmpl w:val="16783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C22198"/>
    <w:multiLevelType w:val="multilevel"/>
    <w:tmpl w:val="E5E65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CB6135"/>
    <w:multiLevelType w:val="multilevel"/>
    <w:tmpl w:val="EE225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BD60A4C"/>
    <w:multiLevelType w:val="multilevel"/>
    <w:tmpl w:val="86F62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1"/>
  </w:num>
  <w:num w:numId="3">
    <w:abstractNumId w:val="4"/>
  </w:num>
  <w:num w:numId="4">
    <w:abstractNumId w:val="15"/>
  </w:num>
  <w:num w:numId="5">
    <w:abstractNumId w:val="18"/>
  </w:num>
  <w:num w:numId="6">
    <w:abstractNumId w:val="11"/>
  </w:num>
  <w:num w:numId="7">
    <w:abstractNumId w:val="10"/>
  </w:num>
  <w:num w:numId="8">
    <w:abstractNumId w:val="8"/>
  </w:num>
  <w:num w:numId="9">
    <w:abstractNumId w:val="19"/>
  </w:num>
  <w:num w:numId="10">
    <w:abstractNumId w:val="13"/>
  </w:num>
  <w:num w:numId="11">
    <w:abstractNumId w:val="27"/>
  </w:num>
  <w:num w:numId="12">
    <w:abstractNumId w:val="28"/>
  </w:num>
  <w:num w:numId="13">
    <w:abstractNumId w:val="24"/>
  </w:num>
  <w:num w:numId="14">
    <w:abstractNumId w:val="1"/>
  </w:num>
  <w:num w:numId="15">
    <w:abstractNumId w:val="17"/>
  </w:num>
  <w:num w:numId="16">
    <w:abstractNumId w:val="26"/>
  </w:num>
  <w:num w:numId="17">
    <w:abstractNumId w:val="5"/>
  </w:num>
  <w:num w:numId="18">
    <w:abstractNumId w:val="14"/>
  </w:num>
  <w:num w:numId="19">
    <w:abstractNumId w:val="2"/>
  </w:num>
  <w:num w:numId="20">
    <w:abstractNumId w:val="0"/>
  </w:num>
  <w:num w:numId="21">
    <w:abstractNumId w:val="3"/>
  </w:num>
  <w:num w:numId="22">
    <w:abstractNumId w:val="23"/>
  </w:num>
  <w:num w:numId="23">
    <w:abstractNumId w:val="20"/>
  </w:num>
  <w:num w:numId="24">
    <w:abstractNumId w:val="9"/>
  </w:num>
  <w:num w:numId="25">
    <w:abstractNumId w:val="22"/>
  </w:num>
  <w:num w:numId="26">
    <w:abstractNumId w:val="16"/>
  </w:num>
  <w:num w:numId="27">
    <w:abstractNumId w:val="25"/>
  </w:num>
  <w:num w:numId="28">
    <w:abstractNumId w:val="12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CB2"/>
    <w:rsid w:val="00023DD7"/>
    <w:rsid w:val="00056ED9"/>
    <w:rsid w:val="00083691"/>
    <w:rsid w:val="000D6A32"/>
    <w:rsid w:val="000F6EA5"/>
    <w:rsid w:val="00112ED4"/>
    <w:rsid w:val="00175041"/>
    <w:rsid w:val="001932CC"/>
    <w:rsid w:val="001A4436"/>
    <w:rsid w:val="0026669F"/>
    <w:rsid w:val="003651BB"/>
    <w:rsid w:val="00442F45"/>
    <w:rsid w:val="00520A40"/>
    <w:rsid w:val="00574A20"/>
    <w:rsid w:val="005B3C53"/>
    <w:rsid w:val="00640A31"/>
    <w:rsid w:val="006A68BE"/>
    <w:rsid w:val="006E2A7A"/>
    <w:rsid w:val="00743C55"/>
    <w:rsid w:val="0075491F"/>
    <w:rsid w:val="009A1788"/>
    <w:rsid w:val="00A95F4B"/>
    <w:rsid w:val="00B83CB2"/>
    <w:rsid w:val="00BA152F"/>
    <w:rsid w:val="00C47A48"/>
    <w:rsid w:val="00CD4702"/>
    <w:rsid w:val="00D12B87"/>
    <w:rsid w:val="00D671F7"/>
    <w:rsid w:val="00DA6DB9"/>
    <w:rsid w:val="00E131CA"/>
    <w:rsid w:val="00E85E9C"/>
    <w:rsid w:val="00F2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8AB0A"/>
  <w15:chartTrackingRefBased/>
  <w15:docId w15:val="{E7196508-0517-40D4-824E-6A4008A93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83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83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83C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83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83C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83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83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83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83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83C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83C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83C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83CB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83CB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83CB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83CB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83CB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83CB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83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83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83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83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83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83CB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83CB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83CB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83C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83CB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83CB2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83C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3CB2"/>
  </w:style>
  <w:style w:type="paragraph" w:styleId="Rodap">
    <w:name w:val="footer"/>
    <w:basedOn w:val="Normal"/>
    <w:link w:val="RodapChar"/>
    <w:uiPriority w:val="99"/>
    <w:unhideWhenUsed/>
    <w:rsid w:val="00B83C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3CB2"/>
  </w:style>
  <w:style w:type="paragraph" w:styleId="NormalWeb">
    <w:name w:val="Normal (Web)"/>
    <w:basedOn w:val="Normal"/>
    <w:uiPriority w:val="99"/>
    <w:unhideWhenUsed/>
    <w:rsid w:val="00B83C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B83CB2"/>
    <w:rPr>
      <w:b/>
      <w:bCs/>
    </w:rPr>
  </w:style>
  <w:style w:type="character" w:customStyle="1" w:styleId="relative">
    <w:name w:val="relative"/>
    <w:basedOn w:val="Fontepargpadro"/>
    <w:rsid w:val="006A68BE"/>
  </w:style>
  <w:style w:type="paragraph" w:customStyle="1" w:styleId="not-prose">
    <w:name w:val="not-prose"/>
    <w:basedOn w:val="Normal"/>
    <w:rsid w:val="006A6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2b033a1-6881-4bf2-98ec-73214b813e61}" enabled="0" method="" siteId="{02b033a1-6881-4bf2-98ec-73214b813e6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809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RVM Advogados</dc:creator>
  <cp:keywords/>
  <dc:description/>
  <cp:lastModifiedBy>CEAPE Sindicato</cp:lastModifiedBy>
  <cp:revision>2</cp:revision>
  <dcterms:created xsi:type="dcterms:W3CDTF">2026-04-13T20:29:00Z</dcterms:created>
  <dcterms:modified xsi:type="dcterms:W3CDTF">2026-04-13T20:29:00Z</dcterms:modified>
</cp:coreProperties>
</file>